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261 vom 14. September 1981</w:t>
      </w:r>
    </w:p>
    <w:p>
      <w:r>
        <w:t>Bundesgericht (BGE), 1981-09-14, DE</w:t>
      </w:r>
    </w:p>
    <w:p>
      <w:r>
        <w:rPr>
          <w:b/>
        </w:rPr>
        <w:t xml:space="preserve">Quelle: </w:t>
      </w:r>
      <w:r>
        <w:t>https://mcp.opencaselaw.ch/entscheid/bge_107 IB 261</w:t>
      </w:r>
    </w:p>
    <w:p>
      <w:r>
        <w:t>FR: BGE 107 IB 261 du 14 septembre 1981</w:t>
      </w:r>
    </w:p>
    <w:p>
      <w:r>
        <w:t>IT: BGE 107 IB 261 del 14 settembre 1981</w:t>
      </w:r>
    </w:p>
    <w:p>
      <w:pPr>
        <w:pStyle w:val="Heading2"/>
      </w:pPr>
      <w:r>
        <w:t>Regeste</w:t>
      </w:r>
    </w:p>
    <w:p>
      <w:r>
        <w:t>Regeste Europäisches Übereinkommen über die Rechtshilfe in Strafsachen vom 20. April 1959 (EUeR). - Der ausländische Staat darf die von der Schweiz im Rechtshilfeverfahren übermittelten Erkenntnisse zur Abklärung von Delikten im Sinne von Art. 2 lit. a EueR nur dann verwenden, wenn die schweizerische Behörde das Rechtshilfegesuch unter einer entsprechenden, einschränkenden Bedingung bewilligt hat. - Begriff des Fiskaldelikts.</w:t>
      </w:r>
    </w:p>
    <w:p>
      <w:pPr>
        <w:pStyle w:val="Heading2"/>
      </w:pPr>
      <w:r>
        <w:t>Erwägungen</w:t>
      </w:r>
    </w:p>
    <w:p>
      <w:r>
        <w:rPr>
          <w:b/>
        </w:rPr>
        <w:t>E. 2</w:t>
      </w:r>
    </w:p>
    <w:p>
      <w:r>
        <w:t>Gemäss Art. 2 lit. a EUeR kann Rechtshilfe verweigert werden, wenn sich das Ersuchen auf strafbare Handlungen bezieht, die vom ersuchten Staat als politische, als mit solchen zusammenhängende oder als fiskalische strafbare Handlungen angesehen werden. Nach der schweizerischen Praxis wird die Rechtshilfe in Fiskalstrafsachen verweigert. Die Schweiz behält sich denn auch im Falle der Rechtshilfe für gemeinrechtliche Delikte das Recht vor, "in besonderen Fällen Rechtshilfe aufgrund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(AS 1967 S. 809). Die auf dem Rechtshilfeweg gewonnenen Erkenntnisse dürfen daher in keinem Fall zur Abklärung fiskalischer Delikte benutzt werden, soweit die Schweiz einen Vorbehalt im Sinne dieser Erklärung gemacht hat. Die Erklärung der Schweiz zu Art. 2 EUeR besagt nicht, dass Rechtshilfe für Delikte im Sinne von Art. 2 lit. a EUeR generell verweigert wird. Der darin erwähnte Vorbehalt, unter welchem Rechtshilfe gewährt werden kann, ist vielmehr bloss fakultativer Natur und schliesst deshalb Rechtshilfe für Delikte im Sinne von Art. 2 lit. a EUeR nicht zwingend aus. Angesichts dessen muss im Einzelfall stets ein entsprechenden Vorbehalt angebracht werden, um die Verwendung der gewonnenen Erkenntnisse für die Abklärung von Delikten im Sinne von Art. 2 lit. a EUeR auszuschliessen (vgl. SCHMID/FREI/WYSS/SCHOUWEY, L'entraide judiciaire internationale en matière pénale, ZSR 100 II S. 314 Anm. 167; anders BGE 106 Ib 269 ). Entgegen der Auffassung der Beschwerdeführerinnen ist nicht zu prüfen, ob das neue Recht, namentlich Art. 3 Abs. 3 Bundesgesetz über die internationale Rechtshilfe in Strafsachen (ISRG; BBl 1981 I S. 808) den Begriff des Fiskaldelikts erweitert hat, denn das ISRG ist bisher noch nicht in Kraft gesetzt worden. Auch braucht BGE 107 Ib 261 S. 264 nicht entschieden zu werden, ob das Verhalten der beiden Angeschuldigten als Steuerbetrug zu würdigen ist, für dessen Verfolgung nach dem neuen Recht Rechtshilfe gewährt werden könnte. Entscheidend ist vielmehr, dass die den Angeschuldigten zur Last gelegten Tatsachen nach dem geltenden inländischen Recht nicht den Vorwurf eines Fiskaldelikts begründen. Art. 2 lit. a EUeR stellt für die Beurteilung des Fiskalstrafcharakters auf das Recht des Staates ab, der um Gewährung der Rechtshilfe angegangen wird. Nach der Rechtsprechung des Bundesgerichts fallen unter den Begriff des fiskalischen Delikts Straftatbestände, die ausschliesslich eine Widerhandlung gegen die Vorschriften über die Veranlagung und den Bezug von Abgaben irgendwelcher Art erfassen (Urteil des Bundesgerichts vom 16. November 1977 i.S. G.; SCHULTZ, Das schweizerische Auslieferungsrecht, S. 464, insbes. Anm. 17). Diese im Auslieferungsrecht entwickelte Definition gilt auch im Rechtshilfeverfahren. Die Tatbestände von Art. 163-165 StGB (Konkurs- und Betreibungsverbrechen oder -vergehen) stellen nach schweizerischer Rechtsauffassung gemeinrechtliche Delikte dar, auch wenn das Gemeinwesen als Gläubiger zu Schaden kommt. Im Falle des schuldnerischen Konkurses werden die Forderungen des Gemeinwesens gegenüber Forderungen anderer Gläubiger nicht unterschiedlich behandelt. Die erwähnten Bestimmungen des StGB verfolgen den Zweck, den Schuldner zu einem korrekten Geschäftsgebahren zu veranlassen und dadurch die Gläubiger zu schützen. Sie gehören ihrer Natur nach nicht zum Steuerrecht. Folglich kommt es nicht darauf an, dass durch die den Angeschuldigten vorgeworfenen Konkursdelikte das Gemeinwesen praktisch ausschliesslich geschädigt wurde. Die Gewährung der Rechtshilfe wegen Verdachts des Bankrotts im Sinne von § 283 des deutschen StGB erfolgte daher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